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35C" w:rsidRPr="00FE31EA" w:rsidRDefault="00F3635C" w:rsidP="00946BA5">
      <w:pPr>
        <w:spacing w:line="480" w:lineRule="auto"/>
        <w:jc w:val="center"/>
        <w:rPr>
          <w:rFonts w:ascii="Times New Roman" w:hAnsi="Times New Roman" w:cs="Times New Roman"/>
          <w:sz w:val="24"/>
          <w:szCs w:val="24"/>
        </w:rPr>
      </w:pPr>
    </w:p>
    <w:p w:rsidR="00F3635C" w:rsidRPr="00FE31EA" w:rsidRDefault="00F3635C" w:rsidP="00946BA5">
      <w:pPr>
        <w:spacing w:line="480" w:lineRule="auto"/>
        <w:jc w:val="center"/>
        <w:rPr>
          <w:rFonts w:ascii="Times New Roman" w:hAnsi="Times New Roman" w:cs="Times New Roman"/>
          <w:sz w:val="24"/>
          <w:szCs w:val="24"/>
        </w:rPr>
      </w:pPr>
    </w:p>
    <w:p w:rsidR="00F3635C" w:rsidRPr="00FE31EA" w:rsidRDefault="00F3635C" w:rsidP="00946BA5">
      <w:pPr>
        <w:spacing w:line="480" w:lineRule="auto"/>
        <w:jc w:val="center"/>
        <w:rPr>
          <w:rFonts w:ascii="Times New Roman" w:hAnsi="Times New Roman" w:cs="Times New Roman"/>
          <w:sz w:val="24"/>
          <w:szCs w:val="24"/>
        </w:rPr>
      </w:pPr>
      <w:bookmarkStart w:id="0" w:name="_GoBack"/>
      <w:bookmarkEnd w:id="0"/>
    </w:p>
    <w:p w:rsidR="00F3635C" w:rsidRPr="00FE31EA" w:rsidRDefault="00F3635C" w:rsidP="00946BA5">
      <w:pPr>
        <w:spacing w:line="480" w:lineRule="auto"/>
        <w:jc w:val="center"/>
        <w:rPr>
          <w:rFonts w:ascii="Times New Roman" w:hAnsi="Times New Roman" w:cs="Times New Roman"/>
          <w:sz w:val="24"/>
          <w:szCs w:val="24"/>
        </w:rPr>
      </w:pPr>
    </w:p>
    <w:p w:rsidR="00F3635C" w:rsidRPr="00FE31EA" w:rsidRDefault="00F3635C" w:rsidP="00946BA5">
      <w:pPr>
        <w:spacing w:line="480" w:lineRule="auto"/>
        <w:jc w:val="center"/>
        <w:rPr>
          <w:rFonts w:ascii="Times New Roman" w:hAnsi="Times New Roman" w:cs="Times New Roman"/>
          <w:sz w:val="24"/>
          <w:szCs w:val="24"/>
        </w:rPr>
      </w:pPr>
    </w:p>
    <w:p w:rsidR="006D2848" w:rsidRPr="00FE31EA" w:rsidRDefault="006D2848" w:rsidP="00946BA5">
      <w:pPr>
        <w:spacing w:line="480" w:lineRule="auto"/>
        <w:jc w:val="center"/>
        <w:rPr>
          <w:rFonts w:ascii="Times New Roman" w:hAnsi="Times New Roman" w:cs="Times New Roman"/>
          <w:sz w:val="24"/>
          <w:szCs w:val="24"/>
        </w:rPr>
      </w:pPr>
      <w:r w:rsidRPr="00FE31EA">
        <w:rPr>
          <w:rFonts w:ascii="Times New Roman" w:hAnsi="Times New Roman" w:cs="Times New Roman"/>
          <w:sz w:val="24"/>
          <w:szCs w:val="24"/>
        </w:rPr>
        <w:t>The Latest National Football League Collective Bargaining Agreement</w:t>
      </w:r>
    </w:p>
    <w:p w:rsidR="00F3635C" w:rsidRPr="00FE31EA" w:rsidRDefault="00F3635C" w:rsidP="00946BA5">
      <w:pPr>
        <w:spacing w:line="480" w:lineRule="auto"/>
        <w:jc w:val="center"/>
        <w:rPr>
          <w:rFonts w:ascii="Times New Roman" w:hAnsi="Times New Roman" w:cs="Times New Roman"/>
          <w:sz w:val="24"/>
          <w:szCs w:val="24"/>
        </w:rPr>
      </w:pPr>
      <w:r w:rsidRPr="00FE31EA">
        <w:rPr>
          <w:rFonts w:ascii="Times New Roman" w:hAnsi="Times New Roman" w:cs="Times New Roman"/>
          <w:sz w:val="24"/>
          <w:szCs w:val="24"/>
        </w:rPr>
        <w:t>Name</w:t>
      </w:r>
    </w:p>
    <w:p w:rsidR="00F3635C" w:rsidRPr="00FE31EA" w:rsidRDefault="00F3635C" w:rsidP="00946BA5">
      <w:pPr>
        <w:spacing w:line="480" w:lineRule="auto"/>
        <w:jc w:val="center"/>
        <w:rPr>
          <w:rFonts w:ascii="Times New Roman" w:hAnsi="Times New Roman" w:cs="Times New Roman"/>
          <w:sz w:val="24"/>
          <w:szCs w:val="24"/>
        </w:rPr>
      </w:pPr>
      <w:r w:rsidRPr="00FE31EA">
        <w:rPr>
          <w:rFonts w:ascii="Times New Roman" w:hAnsi="Times New Roman" w:cs="Times New Roman"/>
          <w:sz w:val="24"/>
          <w:szCs w:val="24"/>
        </w:rPr>
        <w:t>Institution</w:t>
      </w:r>
    </w:p>
    <w:p w:rsidR="00F3635C" w:rsidRPr="00FE31EA" w:rsidRDefault="00F3635C" w:rsidP="00946BA5">
      <w:pPr>
        <w:spacing w:line="480" w:lineRule="auto"/>
        <w:jc w:val="center"/>
        <w:rPr>
          <w:rFonts w:ascii="Times New Roman" w:hAnsi="Times New Roman" w:cs="Times New Roman"/>
          <w:sz w:val="24"/>
          <w:szCs w:val="24"/>
        </w:rPr>
      </w:pPr>
      <w:r w:rsidRPr="00FE31EA">
        <w:rPr>
          <w:rFonts w:ascii="Times New Roman" w:hAnsi="Times New Roman" w:cs="Times New Roman"/>
          <w:sz w:val="24"/>
          <w:szCs w:val="24"/>
        </w:rPr>
        <w:t>Date</w:t>
      </w:r>
    </w:p>
    <w:p w:rsidR="00F3635C" w:rsidRPr="00FE31EA" w:rsidRDefault="00F3635C" w:rsidP="00946BA5">
      <w:pPr>
        <w:spacing w:line="480" w:lineRule="auto"/>
        <w:jc w:val="center"/>
        <w:rPr>
          <w:rFonts w:ascii="Times New Roman" w:hAnsi="Times New Roman" w:cs="Times New Roman"/>
          <w:sz w:val="24"/>
          <w:szCs w:val="24"/>
        </w:rPr>
      </w:pPr>
    </w:p>
    <w:p w:rsidR="00F3635C" w:rsidRPr="00FE31EA" w:rsidRDefault="00F3635C" w:rsidP="00946BA5">
      <w:pPr>
        <w:spacing w:line="480" w:lineRule="auto"/>
        <w:jc w:val="center"/>
        <w:rPr>
          <w:rFonts w:ascii="Times New Roman" w:hAnsi="Times New Roman" w:cs="Times New Roman"/>
          <w:sz w:val="24"/>
          <w:szCs w:val="24"/>
        </w:rPr>
      </w:pPr>
    </w:p>
    <w:p w:rsidR="00F3635C" w:rsidRPr="00FE31EA" w:rsidRDefault="00F3635C" w:rsidP="00946BA5">
      <w:pPr>
        <w:spacing w:line="480" w:lineRule="auto"/>
        <w:jc w:val="center"/>
        <w:rPr>
          <w:rFonts w:ascii="Times New Roman" w:hAnsi="Times New Roman" w:cs="Times New Roman"/>
          <w:sz w:val="24"/>
          <w:szCs w:val="24"/>
        </w:rPr>
      </w:pPr>
    </w:p>
    <w:p w:rsidR="00F3635C" w:rsidRPr="00FE31EA" w:rsidRDefault="00F3635C" w:rsidP="00946BA5">
      <w:pPr>
        <w:spacing w:line="480" w:lineRule="auto"/>
        <w:jc w:val="center"/>
        <w:rPr>
          <w:rFonts w:ascii="Times New Roman" w:hAnsi="Times New Roman" w:cs="Times New Roman"/>
          <w:sz w:val="24"/>
          <w:szCs w:val="24"/>
        </w:rPr>
      </w:pPr>
    </w:p>
    <w:p w:rsidR="00946BA5" w:rsidRPr="00FE31EA" w:rsidRDefault="00946BA5" w:rsidP="00946BA5">
      <w:pPr>
        <w:spacing w:line="480" w:lineRule="auto"/>
        <w:jc w:val="center"/>
        <w:rPr>
          <w:rFonts w:ascii="Times New Roman" w:hAnsi="Times New Roman" w:cs="Times New Roman"/>
          <w:sz w:val="24"/>
          <w:szCs w:val="24"/>
        </w:rPr>
      </w:pPr>
    </w:p>
    <w:p w:rsidR="00946BA5" w:rsidRPr="00FE31EA" w:rsidRDefault="00946BA5" w:rsidP="00946BA5">
      <w:pPr>
        <w:spacing w:line="480" w:lineRule="auto"/>
        <w:jc w:val="center"/>
        <w:rPr>
          <w:rFonts w:ascii="Times New Roman" w:hAnsi="Times New Roman" w:cs="Times New Roman"/>
          <w:sz w:val="24"/>
          <w:szCs w:val="24"/>
        </w:rPr>
      </w:pPr>
    </w:p>
    <w:p w:rsidR="00946BA5" w:rsidRPr="00FE31EA" w:rsidRDefault="00946BA5" w:rsidP="00946BA5">
      <w:pPr>
        <w:spacing w:line="480" w:lineRule="auto"/>
        <w:jc w:val="center"/>
        <w:rPr>
          <w:rFonts w:ascii="Times New Roman" w:hAnsi="Times New Roman" w:cs="Times New Roman"/>
          <w:sz w:val="24"/>
          <w:szCs w:val="24"/>
        </w:rPr>
      </w:pPr>
    </w:p>
    <w:p w:rsidR="00946BA5" w:rsidRPr="00FE31EA" w:rsidRDefault="00946BA5" w:rsidP="00946BA5">
      <w:pPr>
        <w:spacing w:line="480" w:lineRule="auto"/>
        <w:jc w:val="center"/>
        <w:rPr>
          <w:rFonts w:ascii="Times New Roman" w:hAnsi="Times New Roman" w:cs="Times New Roman"/>
          <w:sz w:val="24"/>
          <w:szCs w:val="24"/>
        </w:rPr>
      </w:pPr>
    </w:p>
    <w:p w:rsidR="00946BA5" w:rsidRPr="00FE31EA" w:rsidRDefault="00946BA5" w:rsidP="00946BA5">
      <w:pPr>
        <w:spacing w:line="480" w:lineRule="auto"/>
        <w:jc w:val="center"/>
        <w:rPr>
          <w:rFonts w:ascii="Times New Roman" w:hAnsi="Times New Roman" w:cs="Times New Roman"/>
          <w:sz w:val="24"/>
          <w:szCs w:val="24"/>
        </w:rPr>
      </w:pPr>
    </w:p>
    <w:p w:rsidR="00F3635C" w:rsidRPr="00FE31EA" w:rsidRDefault="00F3635C" w:rsidP="00946BA5">
      <w:pPr>
        <w:spacing w:line="480" w:lineRule="auto"/>
        <w:jc w:val="center"/>
        <w:rPr>
          <w:rFonts w:ascii="Times New Roman" w:hAnsi="Times New Roman" w:cs="Times New Roman"/>
          <w:sz w:val="24"/>
          <w:szCs w:val="24"/>
        </w:rPr>
      </w:pPr>
      <w:r w:rsidRPr="00FE31EA">
        <w:rPr>
          <w:rFonts w:ascii="Times New Roman" w:hAnsi="Times New Roman" w:cs="Times New Roman"/>
          <w:sz w:val="24"/>
          <w:szCs w:val="24"/>
        </w:rPr>
        <w:lastRenderedPageBreak/>
        <w:t>The Latest National Football League Collective Bargaining Agreement</w:t>
      </w:r>
    </w:p>
    <w:p w:rsidR="006D2848" w:rsidRPr="00FE31EA" w:rsidRDefault="006D2848" w:rsidP="00946BA5">
      <w:pPr>
        <w:spacing w:line="480" w:lineRule="auto"/>
        <w:ind w:firstLine="720"/>
        <w:rPr>
          <w:rFonts w:ascii="Times New Roman" w:hAnsi="Times New Roman" w:cs="Times New Roman"/>
          <w:sz w:val="24"/>
          <w:szCs w:val="24"/>
        </w:rPr>
      </w:pPr>
      <w:r w:rsidRPr="00FE31EA">
        <w:rPr>
          <w:rFonts w:ascii="Times New Roman" w:hAnsi="Times New Roman" w:cs="Times New Roman"/>
          <w:sz w:val="24"/>
          <w:szCs w:val="24"/>
        </w:rPr>
        <w:t xml:space="preserve">The National Football League (NFL) Collective Bargaining Agreement (CBA) </w:t>
      </w:r>
      <w:r w:rsidR="00946BA5" w:rsidRPr="00FE31EA">
        <w:rPr>
          <w:rFonts w:ascii="Times New Roman" w:hAnsi="Times New Roman" w:cs="Times New Roman"/>
          <w:sz w:val="24"/>
          <w:szCs w:val="24"/>
        </w:rPr>
        <w:t>refers to</w:t>
      </w:r>
      <w:r w:rsidRPr="00FE31EA">
        <w:rPr>
          <w:rFonts w:ascii="Times New Roman" w:hAnsi="Times New Roman" w:cs="Times New Roman"/>
          <w:sz w:val="24"/>
          <w:szCs w:val="24"/>
        </w:rPr>
        <w:t xml:space="preserve"> labor agreement </w:t>
      </w:r>
      <w:r w:rsidR="00946BA5" w:rsidRPr="00FE31EA">
        <w:rPr>
          <w:rFonts w:ascii="Times New Roman" w:hAnsi="Times New Roman" w:cs="Times New Roman"/>
          <w:sz w:val="24"/>
          <w:szCs w:val="24"/>
        </w:rPr>
        <w:t>that</w:t>
      </w:r>
      <w:r w:rsidRPr="00FE31EA">
        <w:rPr>
          <w:rFonts w:ascii="Times New Roman" w:hAnsi="Times New Roman" w:cs="Times New Roman"/>
          <w:sz w:val="24"/>
          <w:szCs w:val="24"/>
        </w:rPr>
        <w:t xml:space="preserve"> </w:t>
      </w:r>
      <w:r w:rsidR="00946BA5" w:rsidRPr="00FE31EA">
        <w:rPr>
          <w:rFonts w:ascii="Times New Roman" w:hAnsi="Times New Roman" w:cs="Times New Roman"/>
          <w:sz w:val="24"/>
          <w:szCs w:val="24"/>
        </w:rPr>
        <w:t>redirects</w:t>
      </w:r>
      <w:r w:rsidRPr="00FE31EA">
        <w:rPr>
          <w:rFonts w:ascii="Times New Roman" w:hAnsi="Times New Roman" w:cs="Times New Roman"/>
          <w:sz w:val="24"/>
          <w:szCs w:val="24"/>
        </w:rPr>
        <w:t xml:space="preserve"> the results of collective negotiations amid the National Football League Players Association (NFLPA) and the National Football League (NFL) team core stakeholders (Binney, Hammond, Klein, Goodman, &amp; Janssens, 2018). As evident, the new NFL CBA classifies the affiliated distribution of league revenues. It sets health as well as safety standards and establishes a wide array of benefits such as medical rights, safety rights, and pensions that applies to all players in the NFL. According to record, the first collective bargaining agreements was established in the year 1968 when all player members of the NFLPA boycotted to ensure that their demands were attended to. They demanded an increase in their basic salaries, retirement benefits, and benefits for all players in the entire league (McMullen, 2020). Later on, the CBA negotiations paved the way for players to advocate for injuries related policies, an expansion of free agency, and a mandatory percentage of revenues for players, among other core issued that were believed to have tremendous impacts on NFL as a business. As a result, the NFLPA and the major team stakeholders had a successful negotiation on seven different agreements since initiation. Up to date, the NFL has undergone varied collective bargaining agreements which have been ratified in 2020 and extend through the 2030 season. For that reason, this study pays attention to the latest NFL </w:t>
      </w:r>
      <w:r w:rsidR="00946BA5" w:rsidRPr="00FE31EA">
        <w:rPr>
          <w:rFonts w:ascii="Times New Roman" w:hAnsi="Times New Roman" w:cs="Times New Roman"/>
          <w:sz w:val="24"/>
          <w:szCs w:val="24"/>
        </w:rPr>
        <w:t>CBA</w:t>
      </w:r>
      <w:r w:rsidRPr="00FE31EA">
        <w:rPr>
          <w:rFonts w:ascii="Times New Roman" w:hAnsi="Times New Roman" w:cs="Times New Roman"/>
          <w:sz w:val="24"/>
          <w:szCs w:val="24"/>
        </w:rPr>
        <w:t xml:space="preserve">. </w:t>
      </w:r>
    </w:p>
    <w:p w:rsidR="006D2848" w:rsidRPr="00FE31EA" w:rsidRDefault="006D2848" w:rsidP="00946BA5">
      <w:pPr>
        <w:spacing w:line="480" w:lineRule="auto"/>
        <w:jc w:val="center"/>
        <w:rPr>
          <w:rFonts w:ascii="Times New Roman" w:hAnsi="Times New Roman" w:cs="Times New Roman"/>
          <w:b/>
          <w:sz w:val="24"/>
          <w:szCs w:val="24"/>
        </w:rPr>
      </w:pPr>
      <w:r w:rsidRPr="00FE31EA">
        <w:rPr>
          <w:rFonts w:ascii="Times New Roman" w:hAnsi="Times New Roman" w:cs="Times New Roman"/>
          <w:b/>
          <w:sz w:val="24"/>
          <w:szCs w:val="24"/>
        </w:rPr>
        <w:t>Pathways to the latest NFL Collective Bargaining Agreement</w:t>
      </w:r>
    </w:p>
    <w:p w:rsidR="006D2848" w:rsidRPr="00FE31EA" w:rsidRDefault="006D2848" w:rsidP="00946BA5">
      <w:pPr>
        <w:spacing w:line="480" w:lineRule="auto"/>
        <w:ind w:firstLine="720"/>
        <w:rPr>
          <w:rFonts w:ascii="Times New Roman" w:hAnsi="Times New Roman" w:cs="Times New Roman"/>
          <w:sz w:val="24"/>
          <w:szCs w:val="24"/>
        </w:rPr>
      </w:pPr>
      <w:r w:rsidRPr="00FE31EA">
        <w:rPr>
          <w:rFonts w:ascii="Times New Roman" w:hAnsi="Times New Roman" w:cs="Times New Roman"/>
          <w:sz w:val="24"/>
          <w:szCs w:val="24"/>
        </w:rPr>
        <w:t xml:space="preserve">The latest NFL CBA mandates every NFL team to play all the 17 games without any contradictions. To come up with a new collective bargaining agreement, both sides got their ideals accomplished </w:t>
      </w:r>
      <w:r w:rsidR="00946BA5" w:rsidRPr="00FE31EA">
        <w:rPr>
          <w:rFonts w:ascii="Times New Roman" w:hAnsi="Times New Roman" w:cs="Times New Roman"/>
          <w:sz w:val="24"/>
          <w:szCs w:val="24"/>
        </w:rPr>
        <w:t xml:space="preserve">through </w:t>
      </w:r>
      <w:r w:rsidRPr="00FE31EA">
        <w:rPr>
          <w:rFonts w:ascii="Times New Roman" w:hAnsi="Times New Roman" w:cs="Times New Roman"/>
          <w:sz w:val="24"/>
          <w:szCs w:val="24"/>
        </w:rPr>
        <w:t>prior to the beginning of the 2020 league year</w:t>
      </w:r>
      <w:r w:rsidR="00946BA5" w:rsidRPr="00FE31EA">
        <w:rPr>
          <w:rFonts w:ascii="Times New Roman" w:hAnsi="Times New Roman" w:cs="Times New Roman"/>
          <w:sz w:val="24"/>
          <w:szCs w:val="24"/>
        </w:rPr>
        <w:t xml:space="preserve"> </w:t>
      </w:r>
      <w:r w:rsidRPr="00FE31EA">
        <w:rPr>
          <w:rFonts w:ascii="Times New Roman" w:hAnsi="Times New Roman" w:cs="Times New Roman"/>
          <w:sz w:val="24"/>
          <w:szCs w:val="24"/>
        </w:rPr>
        <w:t xml:space="preserve">, making the most </w:t>
      </w:r>
      <w:r w:rsidRPr="00FE31EA">
        <w:rPr>
          <w:rFonts w:ascii="Times New Roman" w:hAnsi="Times New Roman" w:cs="Times New Roman"/>
          <w:sz w:val="24"/>
          <w:szCs w:val="24"/>
        </w:rPr>
        <w:lastRenderedPageBreak/>
        <w:t>impactful changes in the agreement to go into effect early march this year</w:t>
      </w:r>
      <w:r w:rsidR="00946BA5" w:rsidRPr="00FE31EA">
        <w:rPr>
          <w:rFonts w:ascii="Times New Roman" w:hAnsi="Times New Roman" w:cs="Times New Roman"/>
          <w:sz w:val="24"/>
          <w:szCs w:val="24"/>
        </w:rPr>
        <w:t>(McMullen, 2020).</w:t>
      </w:r>
      <w:r w:rsidRPr="00FE31EA">
        <w:rPr>
          <w:rFonts w:ascii="Times New Roman" w:hAnsi="Times New Roman" w:cs="Times New Roman"/>
          <w:sz w:val="24"/>
          <w:szCs w:val="24"/>
        </w:rPr>
        <w:t>. According to McMullen (2020), two sides began their negotiations in the second quarter of 2019, creating a huge gap ahead of the last CBA’s expiration, and hence coming up with a deal less than a year later (Stites, 2020). However, it is worthy to note that coming up with updated collective bargaining was not just a walk in the park. Both sides were faced with thought-provoking, but they remained stringent to address them for the benefits of their future teams and league as well. Based on rationales, the major league stakeholders were in a position to approve the proposal that allowed the NFLPA executive committee to accurately vote against the proposal</w:t>
      </w:r>
      <w:r w:rsidR="00946BA5" w:rsidRPr="00FE31EA">
        <w:rPr>
          <w:rFonts w:ascii="Times New Roman" w:hAnsi="Times New Roman" w:cs="Times New Roman"/>
          <w:sz w:val="24"/>
          <w:szCs w:val="24"/>
        </w:rPr>
        <w:t xml:space="preserve"> </w:t>
      </w:r>
      <w:r w:rsidR="00946BA5" w:rsidRPr="00FE31EA">
        <w:rPr>
          <w:rFonts w:ascii="Times New Roman" w:hAnsi="Times New Roman" w:cs="Times New Roman"/>
          <w:sz w:val="24"/>
          <w:szCs w:val="24"/>
        </w:rPr>
        <w:t>(Stites, 2020)</w:t>
      </w:r>
      <w:r w:rsidRPr="00FE31EA">
        <w:rPr>
          <w:rFonts w:ascii="Times New Roman" w:hAnsi="Times New Roman" w:cs="Times New Roman"/>
          <w:sz w:val="24"/>
          <w:szCs w:val="24"/>
        </w:rPr>
        <w:t xml:space="preserve">. </w:t>
      </w:r>
    </w:p>
    <w:p w:rsidR="006D2848" w:rsidRPr="00FE31EA" w:rsidRDefault="00946BA5" w:rsidP="00946BA5">
      <w:pPr>
        <w:spacing w:line="480" w:lineRule="auto"/>
        <w:jc w:val="center"/>
        <w:rPr>
          <w:rFonts w:ascii="Times New Roman" w:hAnsi="Times New Roman" w:cs="Times New Roman"/>
          <w:b/>
          <w:sz w:val="24"/>
          <w:szCs w:val="24"/>
        </w:rPr>
      </w:pPr>
      <w:r w:rsidRPr="00FE31EA">
        <w:rPr>
          <w:rFonts w:ascii="Times New Roman" w:hAnsi="Times New Roman" w:cs="Times New Roman"/>
          <w:b/>
          <w:sz w:val="24"/>
          <w:szCs w:val="24"/>
        </w:rPr>
        <w:t>C</w:t>
      </w:r>
      <w:r w:rsidR="006D2848" w:rsidRPr="00FE31EA">
        <w:rPr>
          <w:rFonts w:ascii="Times New Roman" w:hAnsi="Times New Roman" w:cs="Times New Roman"/>
          <w:b/>
          <w:sz w:val="24"/>
          <w:szCs w:val="24"/>
        </w:rPr>
        <w:t>hanges in the latest NFL’s Collective Bargaining Agreement</w:t>
      </w:r>
    </w:p>
    <w:p w:rsidR="006D2848" w:rsidRPr="00FE31EA" w:rsidRDefault="006D2848" w:rsidP="00946BA5">
      <w:pPr>
        <w:spacing w:line="480" w:lineRule="auto"/>
        <w:ind w:firstLine="720"/>
        <w:rPr>
          <w:rFonts w:ascii="Times New Roman" w:hAnsi="Times New Roman" w:cs="Times New Roman"/>
          <w:sz w:val="24"/>
          <w:szCs w:val="24"/>
        </w:rPr>
      </w:pPr>
      <w:r w:rsidRPr="00FE31EA">
        <w:rPr>
          <w:rFonts w:ascii="Times New Roman" w:hAnsi="Times New Roman" w:cs="Times New Roman"/>
          <w:sz w:val="24"/>
          <w:szCs w:val="24"/>
        </w:rPr>
        <w:t xml:space="preserve">The new NFL Collective Bargaining Agreements were voted by the NFL owners and approved by the Board of Representatives for the NFLPA on February 26, 2020. In the 2020 NFL Collective Bargaining Agreements, the stakeholders reached a new deal that the regular-season schedule could expand to accommodate 17 games starting from January 2021. The team owners and the NFL Player Associates argued that the 2020 regular season would not have made any significant difference with only four preseasons contest and the 16 regular-season games. However, both sides agreed to make a change in early 2021.  The agreement provided inevitable changes to the league to modify the schedule as well as include an extra regular-season game for every team not later than 2023 season (Stites, 2020). </w:t>
      </w:r>
    </w:p>
    <w:p w:rsidR="006D2848" w:rsidRPr="00FE31EA" w:rsidRDefault="006D2848" w:rsidP="00946BA5">
      <w:pPr>
        <w:spacing w:line="480" w:lineRule="auto"/>
        <w:ind w:firstLine="720"/>
        <w:rPr>
          <w:rFonts w:ascii="Times New Roman" w:hAnsi="Times New Roman" w:cs="Times New Roman"/>
          <w:sz w:val="24"/>
          <w:szCs w:val="24"/>
        </w:rPr>
      </w:pPr>
      <w:r w:rsidRPr="00FE31EA">
        <w:rPr>
          <w:rFonts w:ascii="Times New Roman" w:hAnsi="Times New Roman" w:cs="Times New Roman"/>
          <w:sz w:val="24"/>
          <w:szCs w:val="24"/>
        </w:rPr>
        <w:t xml:space="preserve">In the 2020 NFL Collective Bargaining Agreements, the stakeholders agreed on a new deal to expand the playoff field from 12 to 14 teams in the 2020 season (McMullen, 2020).  They agreed that for the postseason to be altered in the upcoming season to incorporate an additional </w:t>
      </w:r>
      <w:r w:rsidRPr="00FE31EA">
        <w:rPr>
          <w:rFonts w:ascii="Times New Roman" w:hAnsi="Times New Roman" w:cs="Times New Roman"/>
          <w:sz w:val="24"/>
          <w:szCs w:val="24"/>
        </w:rPr>
        <w:lastRenderedPageBreak/>
        <w:t>wild card team from each conference. This agreement shared an implication that only one more team from each conference would be in not participate in the first-round game.  The first weekend of postseason action would entail six games (Binney et al., 2018).  Although the change was designed to add two middling teams to the postseason games, the greatest impact is extended to the top of the bracket with one team from each conference earning a first-round bye</w:t>
      </w:r>
      <w:r w:rsidR="00946BA5" w:rsidRPr="00FE31EA">
        <w:rPr>
          <w:rFonts w:ascii="Times New Roman" w:hAnsi="Times New Roman" w:cs="Times New Roman"/>
          <w:sz w:val="24"/>
          <w:szCs w:val="24"/>
        </w:rPr>
        <w:t xml:space="preserve"> </w:t>
      </w:r>
      <w:r w:rsidR="00946BA5" w:rsidRPr="00FE31EA">
        <w:rPr>
          <w:rFonts w:ascii="Times New Roman" w:hAnsi="Times New Roman" w:cs="Times New Roman"/>
          <w:sz w:val="24"/>
          <w:szCs w:val="24"/>
        </w:rPr>
        <w:t>(Stites, 2020)</w:t>
      </w:r>
      <w:r w:rsidRPr="00FE31EA">
        <w:rPr>
          <w:rFonts w:ascii="Times New Roman" w:hAnsi="Times New Roman" w:cs="Times New Roman"/>
          <w:sz w:val="24"/>
          <w:szCs w:val="24"/>
        </w:rPr>
        <w:t xml:space="preserve">. Different from the 17-game schedule, this significant alteration was planned to be put into practice in the 2020 regular season. </w:t>
      </w:r>
    </w:p>
    <w:p w:rsidR="006D2848" w:rsidRPr="00FE31EA" w:rsidRDefault="006D2848" w:rsidP="00946BA5">
      <w:pPr>
        <w:spacing w:line="480" w:lineRule="auto"/>
        <w:ind w:firstLine="720"/>
        <w:rPr>
          <w:rFonts w:ascii="Times New Roman" w:hAnsi="Times New Roman" w:cs="Times New Roman"/>
          <w:sz w:val="24"/>
          <w:szCs w:val="24"/>
        </w:rPr>
      </w:pPr>
      <w:r w:rsidRPr="00FE31EA">
        <w:rPr>
          <w:rFonts w:ascii="Times New Roman" w:hAnsi="Times New Roman" w:cs="Times New Roman"/>
          <w:sz w:val="24"/>
          <w:szCs w:val="24"/>
        </w:rPr>
        <w:t>Moreover, the stakeholders agreed that the roster sizes, together with the practical squad, were increasing.  Both sides defined that the increase in NFL roster sizes was a clear indicator that the tradeoff demanded the addition of another week to the regular season together with two extra playoff games (McMullen, 2020). Therefore, the active roster was to increase from 53 to 55, and the practice squad increase from 12 players to 14</w:t>
      </w:r>
      <w:r w:rsidR="00946BA5" w:rsidRPr="00FE31EA">
        <w:rPr>
          <w:rFonts w:ascii="Times New Roman" w:hAnsi="Times New Roman" w:cs="Times New Roman"/>
          <w:sz w:val="24"/>
          <w:szCs w:val="24"/>
        </w:rPr>
        <w:t xml:space="preserve"> players</w:t>
      </w:r>
      <w:r w:rsidRPr="00FE31EA">
        <w:rPr>
          <w:rFonts w:ascii="Times New Roman" w:hAnsi="Times New Roman" w:cs="Times New Roman"/>
          <w:sz w:val="24"/>
          <w:szCs w:val="24"/>
        </w:rPr>
        <w:t xml:space="preserve">.  Effective implementation of this change would mean that about 128 more NFL players will be earning a salary. The actual number of player’s active on the game day will also grow by two spots, from 46 to 48.  This change has been accommodated among teams, and practice squads are set to expand during the deal as well. </w:t>
      </w:r>
    </w:p>
    <w:p w:rsidR="006D2848" w:rsidRPr="00FE31EA" w:rsidRDefault="006D2848" w:rsidP="00946BA5">
      <w:pPr>
        <w:spacing w:line="480" w:lineRule="auto"/>
        <w:ind w:firstLine="720"/>
        <w:rPr>
          <w:rFonts w:ascii="Times New Roman" w:hAnsi="Times New Roman" w:cs="Times New Roman"/>
          <w:sz w:val="24"/>
          <w:szCs w:val="24"/>
        </w:rPr>
      </w:pPr>
      <w:r w:rsidRPr="00FE31EA">
        <w:rPr>
          <w:rFonts w:ascii="Times New Roman" w:hAnsi="Times New Roman" w:cs="Times New Roman"/>
          <w:sz w:val="24"/>
          <w:szCs w:val="24"/>
        </w:rPr>
        <w:t xml:space="preserve">The new NFL Collective Bargaining Agreements shared that players will be given a 48 percent of revenue share. This would not have an effect on the games. However, it implies that the revenue share is the bottom line of every successful CBA negotiation amid the NFLPA and NFL. In reflection on the last CBA negotiation in 2011, players were required to share about 47% over the next decade. With the new NFL Collective Bargaining Agreements, players are guaranteed to share 48% at the beginning of 2021. According to the NFL’s estimates, this change could lead to a guaranteed share of 48.5 %, and hence net players around a $5 million increase </w:t>
      </w:r>
      <w:r w:rsidRPr="00FE31EA">
        <w:rPr>
          <w:rFonts w:ascii="Times New Roman" w:hAnsi="Times New Roman" w:cs="Times New Roman"/>
          <w:sz w:val="24"/>
          <w:szCs w:val="24"/>
        </w:rPr>
        <w:lastRenderedPageBreak/>
        <w:t>for players over the next ten years.  In regard to the effectiveness of the other 16 regular seasons and the two postseason games, their net worth value would mean an increased profit for the NFL.</w:t>
      </w:r>
    </w:p>
    <w:p w:rsidR="006D2848" w:rsidRPr="00FE31EA" w:rsidRDefault="006D2848" w:rsidP="00946BA5">
      <w:pPr>
        <w:spacing w:line="480" w:lineRule="auto"/>
        <w:ind w:firstLine="720"/>
        <w:rPr>
          <w:rFonts w:ascii="Times New Roman" w:hAnsi="Times New Roman" w:cs="Times New Roman"/>
          <w:sz w:val="24"/>
          <w:szCs w:val="24"/>
        </w:rPr>
      </w:pPr>
      <w:r w:rsidRPr="00FE31EA">
        <w:rPr>
          <w:rFonts w:ascii="Times New Roman" w:hAnsi="Times New Roman" w:cs="Times New Roman"/>
          <w:sz w:val="24"/>
          <w:szCs w:val="24"/>
        </w:rPr>
        <w:t xml:space="preserve">Also, the NFL Collective Bargaining Agreements guarantee players greater raises and fewer fines in a very categorical manner. In this regard, there would be raises for practice squad players and an increase in performance-based pay pool. </w:t>
      </w:r>
    </w:p>
    <w:p w:rsidR="006D2848" w:rsidRPr="00FE31EA" w:rsidRDefault="006D2848" w:rsidP="00946BA5">
      <w:pPr>
        <w:spacing w:line="480" w:lineRule="auto"/>
        <w:ind w:firstLine="720"/>
        <w:rPr>
          <w:rFonts w:ascii="Times New Roman" w:hAnsi="Times New Roman" w:cs="Times New Roman"/>
          <w:sz w:val="24"/>
          <w:szCs w:val="24"/>
        </w:rPr>
      </w:pPr>
      <w:r w:rsidRPr="00FE31EA">
        <w:rPr>
          <w:rFonts w:ascii="Times New Roman" w:hAnsi="Times New Roman" w:cs="Times New Roman"/>
          <w:sz w:val="24"/>
          <w:szCs w:val="24"/>
        </w:rPr>
        <w:t>This change will pose a rapid increase in the minimum salary, which would be the most embraced factor from the player’s side.  On the other hand, reducing fines implies that the players will suitably enjoy an overall reduction in on-field fines. However, the language used by the CBA must make it quite challenging for players who admire to holdout in the fall. Those particular fines would be increased, making players lose their accrued seasons faster.  The need CBA calls for the incorporation of neutral decision-makers for the most discipline cases.</w:t>
      </w:r>
    </w:p>
    <w:p w:rsidR="006D2848" w:rsidRPr="00FE31EA" w:rsidRDefault="006D2848" w:rsidP="00946BA5">
      <w:pPr>
        <w:spacing w:line="480" w:lineRule="auto"/>
        <w:ind w:firstLine="720"/>
        <w:rPr>
          <w:rFonts w:ascii="Times New Roman" w:hAnsi="Times New Roman" w:cs="Times New Roman"/>
          <w:sz w:val="24"/>
          <w:szCs w:val="24"/>
        </w:rPr>
      </w:pPr>
      <w:r w:rsidRPr="00FE31EA">
        <w:rPr>
          <w:rFonts w:ascii="Times New Roman" w:hAnsi="Times New Roman" w:cs="Times New Roman"/>
          <w:sz w:val="24"/>
          <w:szCs w:val="24"/>
        </w:rPr>
        <w:t>Another New NFL Collective Bargaining Agreement was that the NFL was mandated to address as well as diversify marijuana punishments.  In refection to the last CBA of 2011, this news NFL CBA posed tremendous change in regards to the increased use of marijuana amid players (McMullen, 2020). It is noteworthy that some states have legalized the use of marijuana while others have discriminated against the use of marijuana, and this calls the league to establish more lenient policies and punishments to counter the effects (McMullen, 2020). For that reason, the new CBA shared that there will be significantly less testing marijuana consumption and no more suspensions for players who test positive. The news CBA calls the officials to diversify their efforts in addressing the affiliated health issues for improved performance and endurance in the league.</w:t>
      </w:r>
    </w:p>
    <w:p w:rsidR="006D2848" w:rsidRPr="00FE31EA" w:rsidRDefault="006D2848" w:rsidP="00946BA5">
      <w:pPr>
        <w:spacing w:line="480" w:lineRule="auto"/>
        <w:ind w:firstLine="720"/>
        <w:rPr>
          <w:rFonts w:ascii="Times New Roman" w:hAnsi="Times New Roman" w:cs="Times New Roman"/>
          <w:sz w:val="24"/>
          <w:szCs w:val="24"/>
        </w:rPr>
      </w:pPr>
      <w:r w:rsidRPr="00FE31EA">
        <w:rPr>
          <w:rFonts w:ascii="Times New Roman" w:hAnsi="Times New Roman" w:cs="Times New Roman"/>
          <w:sz w:val="24"/>
          <w:szCs w:val="24"/>
        </w:rPr>
        <w:lastRenderedPageBreak/>
        <w:t xml:space="preserve">Another significant change affiliated with the new NFL CBA of 2020 is that rookie contracts will suitably increase for all players who outplay them. The NFLPA and NFL remarked that some key players successfully outplayed their rookies with greater dimensions, but under they did not benefit from the old CBA, an example which marked the end of the old CBA tenure (McMullen, 2020). Under the new CBA, players who outplay their career would earn themselves a remarkable bonus. This change not only means more funds to successful players but also gives players a chance to have a free agency for better career terms. </w:t>
      </w:r>
    </w:p>
    <w:p w:rsidR="006D2848" w:rsidRPr="00FE31EA" w:rsidRDefault="006D2848" w:rsidP="00946BA5">
      <w:pPr>
        <w:spacing w:line="480" w:lineRule="auto"/>
        <w:ind w:firstLine="720"/>
        <w:rPr>
          <w:rFonts w:ascii="Times New Roman" w:hAnsi="Times New Roman" w:cs="Times New Roman"/>
          <w:sz w:val="24"/>
          <w:szCs w:val="24"/>
        </w:rPr>
      </w:pPr>
      <w:r w:rsidRPr="00FE31EA">
        <w:rPr>
          <w:rFonts w:ascii="Times New Roman" w:hAnsi="Times New Roman" w:cs="Times New Roman"/>
          <w:sz w:val="24"/>
          <w:szCs w:val="24"/>
        </w:rPr>
        <w:t xml:space="preserve">In summary, the 2020 NFL Collective Bargaining Agreements serve as an ideal solution to the evident problems affecting our National Football League, teams, players, and other core stakeholders (McMullen, 2020).  Notably, an effective accomplishment of the latest NFL CBA would mean improved standards within our league.  Every stakeholder must make an effort to ensure the success of the initiative for the sake of our future leagues. </w:t>
      </w:r>
    </w:p>
    <w:p w:rsidR="00FF5552" w:rsidRPr="00FE31EA" w:rsidRDefault="00FF5552" w:rsidP="00946BA5">
      <w:pPr>
        <w:spacing w:line="480" w:lineRule="auto"/>
        <w:jc w:val="center"/>
        <w:rPr>
          <w:rFonts w:ascii="Times New Roman" w:hAnsi="Times New Roman" w:cs="Times New Roman"/>
          <w:sz w:val="24"/>
          <w:szCs w:val="24"/>
        </w:rPr>
      </w:pPr>
    </w:p>
    <w:p w:rsidR="00FF5552" w:rsidRPr="00FE31EA" w:rsidRDefault="00FF5552" w:rsidP="00946BA5">
      <w:pPr>
        <w:spacing w:line="480" w:lineRule="auto"/>
        <w:jc w:val="center"/>
        <w:rPr>
          <w:rFonts w:ascii="Times New Roman" w:hAnsi="Times New Roman" w:cs="Times New Roman"/>
          <w:sz w:val="24"/>
          <w:szCs w:val="24"/>
        </w:rPr>
      </w:pPr>
    </w:p>
    <w:p w:rsidR="00FF5552" w:rsidRPr="00FE31EA" w:rsidRDefault="00FF5552" w:rsidP="00946BA5">
      <w:pPr>
        <w:spacing w:line="480" w:lineRule="auto"/>
        <w:jc w:val="center"/>
        <w:rPr>
          <w:rFonts w:ascii="Times New Roman" w:hAnsi="Times New Roman" w:cs="Times New Roman"/>
          <w:sz w:val="24"/>
          <w:szCs w:val="24"/>
        </w:rPr>
      </w:pPr>
    </w:p>
    <w:p w:rsidR="00FF5552" w:rsidRPr="00FE31EA" w:rsidRDefault="00FF5552" w:rsidP="00946BA5">
      <w:pPr>
        <w:spacing w:line="480" w:lineRule="auto"/>
        <w:jc w:val="center"/>
        <w:rPr>
          <w:rFonts w:ascii="Times New Roman" w:hAnsi="Times New Roman" w:cs="Times New Roman"/>
          <w:sz w:val="24"/>
          <w:szCs w:val="24"/>
        </w:rPr>
      </w:pPr>
    </w:p>
    <w:p w:rsidR="00FF5552" w:rsidRPr="00FE31EA" w:rsidRDefault="00FF5552" w:rsidP="00946BA5">
      <w:pPr>
        <w:spacing w:line="480" w:lineRule="auto"/>
        <w:jc w:val="center"/>
        <w:rPr>
          <w:rFonts w:ascii="Times New Roman" w:hAnsi="Times New Roman" w:cs="Times New Roman"/>
          <w:sz w:val="24"/>
          <w:szCs w:val="24"/>
        </w:rPr>
      </w:pPr>
    </w:p>
    <w:p w:rsidR="00FF5552" w:rsidRPr="00FE31EA" w:rsidRDefault="00FF5552" w:rsidP="00946BA5">
      <w:pPr>
        <w:spacing w:line="480" w:lineRule="auto"/>
        <w:jc w:val="center"/>
        <w:rPr>
          <w:rFonts w:ascii="Times New Roman" w:hAnsi="Times New Roman" w:cs="Times New Roman"/>
          <w:sz w:val="24"/>
          <w:szCs w:val="24"/>
        </w:rPr>
      </w:pPr>
    </w:p>
    <w:p w:rsidR="00FF5552" w:rsidRPr="00FE31EA" w:rsidRDefault="00FF5552" w:rsidP="00946BA5">
      <w:pPr>
        <w:spacing w:line="480" w:lineRule="auto"/>
        <w:jc w:val="center"/>
        <w:rPr>
          <w:rFonts w:ascii="Times New Roman" w:hAnsi="Times New Roman" w:cs="Times New Roman"/>
          <w:sz w:val="24"/>
          <w:szCs w:val="24"/>
        </w:rPr>
      </w:pPr>
    </w:p>
    <w:p w:rsidR="00FF5552" w:rsidRPr="00FE31EA" w:rsidRDefault="00FF5552" w:rsidP="00946BA5">
      <w:pPr>
        <w:spacing w:line="480" w:lineRule="auto"/>
        <w:jc w:val="center"/>
        <w:rPr>
          <w:rFonts w:ascii="Times New Roman" w:hAnsi="Times New Roman" w:cs="Times New Roman"/>
          <w:sz w:val="24"/>
          <w:szCs w:val="24"/>
        </w:rPr>
      </w:pPr>
    </w:p>
    <w:p w:rsidR="00BF6641" w:rsidRPr="00FE31EA" w:rsidRDefault="00BF6641" w:rsidP="00946BA5">
      <w:pPr>
        <w:spacing w:line="480" w:lineRule="auto"/>
        <w:jc w:val="center"/>
        <w:rPr>
          <w:rFonts w:ascii="Times New Roman" w:hAnsi="Times New Roman" w:cs="Times New Roman"/>
          <w:sz w:val="24"/>
          <w:szCs w:val="24"/>
        </w:rPr>
      </w:pPr>
      <w:r w:rsidRPr="00FE31EA">
        <w:rPr>
          <w:rFonts w:ascii="Times New Roman" w:hAnsi="Times New Roman" w:cs="Times New Roman"/>
          <w:sz w:val="24"/>
          <w:szCs w:val="24"/>
        </w:rPr>
        <w:lastRenderedPageBreak/>
        <w:t>References</w:t>
      </w:r>
    </w:p>
    <w:p w:rsidR="00946BA5" w:rsidRPr="00FE31EA" w:rsidRDefault="00946BA5" w:rsidP="00946BA5">
      <w:pPr>
        <w:spacing w:line="480" w:lineRule="auto"/>
        <w:ind w:left="720" w:hanging="720"/>
        <w:rPr>
          <w:rFonts w:ascii="Times New Roman" w:hAnsi="Times New Roman" w:cs="Times New Roman"/>
          <w:sz w:val="24"/>
          <w:szCs w:val="24"/>
          <w:shd w:val="clear" w:color="auto" w:fill="FFFFFF"/>
        </w:rPr>
      </w:pPr>
      <w:r w:rsidRPr="00FE31EA">
        <w:rPr>
          <w:rFonts w:ascii="Times New Roman" w:hAnsi="Times New Roman" w:cs="Times New Roman"/>
          <w:sz w:val="24"/>
          <w:szCs w:val="24"/>
          <w:shd w:val="clear" w:color="auto" w:fill="FFFFFF"/>
        </w:rPr>
        <w:t>Binney, Z. O., Hammond, K. E., Klein, M., Goodman, M., &amp; Janssens, A. (2018). NFL Injuries Before and After the 2011 Collective Bargaining Agreement (CBA). </w:t>
      </w:r>
      <w:proofErr w:type="gramStart"/>
      <w:r w:rsidRPr="00FE31EA">
        <w:rPr>
          <w:rFonts w:ascii="Times New Roman" w:hAnsi="Times New Roman" w:cs="Times New Roman"/>
          <w:i/>
          <w:iCs/>
          <w:sz w:val="24"/>
          <w:szCs w:val="24"/>
          <w:shd w:val="clear" w:color="auto" w:fill="FFFFFF"/>
        </w:rPr>
        <w:t>arXiv</w:t>
      </w:r>
      <w:proofErr w:type="gramEnd"/>
      <w:r w:rsidRPr="00FE31EA">
        <w:rPr>
          <w:rFonts w:ascii="Times New Roman" w:hAnsi="Times New Roman" w:cs="Times New Roman"/>
          <w:i/>
          <w:iCs/>
          <w:sz w:val="24"/>
          <w:szCs w:val="24"/>
          <w:shd w:val="clear" w:color="auto" w:fill="FFFFFF"/>
        </w:rPr>
        <w:t xml:space="preserve"> preprint arXiv:1805.01271</w:t>
      </w:r>
      <w:r w:rsidRPr="00FE31EA">
        <w:rPr>
          <w:rFonts w:ascii="Times New Roman" w:hAnsi="Times New Roman" w:cs="Times New Roman"/>
          <w:sz w:val="24"/>
          <w:szCs w:val="24"/>
          <w:shd w:val="clear" w:color="auto" w:fill="FFFFFF"/>
        </w:rPr>
        <w:t>.</w:t>
      </w:r>
    </w:p>
    <w:p w:rsidR="00946BA5" w:rsidRPr="00BD0BC1" w:rsidRDefault="00946BA5" w:rsidP="00946BA5">
      <w:pPr>
        <w:shd w:val="clear" w:color="auto" w:fill="FFFFFF"/>
        <w:spacing w:after="0" w:line="480" w:lineRule="auto"/>
        <w:ind w:left="720" w:hanging="720"/>
        <w:rPr>
          <w:rFonts w:ascii="Times New Roman" w:eastAsia="Times New Roman" w:hAnsi="Times New Roman" w:cs="Times New Roman"/>
          <w:caps/>
          <w:sz w:val="24"/>
          <w:szCs w:val="24"/>
        </w:rPr>
      </w:pPr>
      <w:r w:rsidRPr="00FE31EA">
        <w:rPr>
          <w:rFonts w:ascii="Times New Roman" w:eastAsia="Times New Roman" w:hAnsi="Times New Roman" w:cs="Times New Roman"/>
          <w:bCs/>
          <w:sz w:val="24"/>
          <w:szCs w:val="24"/>
        </w:rPr>
        <w:t>McMullen</w:t>
      </w:r>
      <w:r w:rsidRPr="00FE31EA">
        <w:rPr>
          <w:rFonts w:ascii="Times New Roman" w:eastAsia="Times New Roman" w:hAnsi="Times New Roman" w:cs="Times New Roman"/>
          <w:bCs/>
          <w:spacing w:val="-3"/>
          <w:kern w:val="36"/>
          <w:sz w:val="24"/>
          <w:szCs w:val="24"/>
        </w:rPr>
        <w:t xml:space="preserve">, M. (2020). </w:t>
      </w:r>
      <w:r w:rsidRPr="00BD0BC1">
        <w:rPr>
          <w:rFonts w:ascii="Times New Roman" w:eastAsia="Times New Roman" w:hAnsi="Times New Roman" w:cs="Times New Roman"/>
          <w:bCs/>
          <w:spacing w:val="-3"/>
          <w:kern w:val="36"/>
          <w:sz w:val="24"/>
          <w:szCs w:val="24"/>
        </w:rPr>
        <w:t>New NFL Collective Bargaining Agreement: What We Know So Far</w:t>
      </w:r>
      <w:r w:rsidRPr="00FE31EA">
        <w:rPr>
          <w:rFonts w:ascii="Times New Roman" w:eastAsia="Times New Roman" w:hAnsi="Times New Roman" w:cs="Times New Roman"/>
          <w:bCs/>
          <w:spacing w:val="-3"/>
          <w:kern w:val="36"/>
          <w:sz w:val="24"/>
          <w:szCs w:val="24"/>
        </w:rPr>
        <w:t xml:space="preserve">. </w:t>
      </w:r>
      <w:r w:rsidRPr="00FE31EA">
        <w:rPr>
          <w:rFonts w:ascii="Times New Roman" w:eastAsia="Times New Roman" w:hAnsi="Times New Roman" w:cs="Times New Roman"/>
          <w:i/>
          <w:sz w:val="24"/>
          <w:szCs w:val="24"/>
        </w:rPr>
        <w:t>Community &amp; Digital Media Produce</w:t>
      </w:r>
    </w:p>
    <w:p w:rsidR="00946BA5" w:rsidRPr="00FE31EA" w:rsidRDefault="00946BA5" w:rsidP="00946BA5">
      <w:pPr>
        <w:spacing w:line="480" w:lineRule="auto"/>
        <w:ind w:left="720" w:hanging="720"/>
        <w:rPr>
          <w:rFonts w:ascii="Times New Roman" w:hAnsi="Times New Roman" w:cs="Times New Roman"/>
          <w:sz w:val="24"/>
          <w:szCs w:val="24"/>
          <w:shd w:val="clear" w:color="auto" w:fill="FFFFFF"/>
        </w:rPr>
      </w:pPr>
      <w:r w:rsidRPr="00FE31EA">
        <w:rPr>
          <w:rFonts w:ascii="Times New Roman" w:hAnsi="Times New Roman" w:cs="Times New Roman"/>
          <w:sz w:val="24"/>
          <w:szCs w:val="24"/>
          <w:shd w:val="clear" w:color="auto" w:fill="FFFFFF"/>
        </w:rPr>
        <w:t xml:space="preserve">Stites, A., (2020). </w:t>
      </w:r>
      <w:r w:rsidRPr="00FE31EA">
        <w:rPr>
          <w:rFonts w:ascii="Times New Roman" w:hAnsi="Times New Roman" w:cs="Times New Roman"/>
          <w:sz w:val="24"/>
          <w:szCs w:val="24"/>
        </w:rPr>
        <w:t xml:space="preserve"> The 7 biggest changes in the NFL’s new collective bargaining agreement</w:t>
      </w:r>
      <w:r w:rsidRPr="00FE31EA">
        <w:rPr>
          <w:rFonts w:ascii="Times New Roman" w:hAnsi="Times New Roman" w:cs="Times New Roman"/>
          <w:bCs/>
          <w:sz w:val="24"/>
          <w:szCs w:val="24"/>
        </w:rPr>
        <w:t xml:space="preserve">. </w:t>
      </w:r>
      <w:r w:rsidRPr="00FE31EA">
        <w:rPr>
          <w:rFonts w:ascii="Times New Roman" w:hAnsi="Times New Roman" w:cs="Times New Roman"/>
          <w:bCs/>
          <w:i/>
          <w:sz w:val="24"/>
          <w:szCs w:val="24"/>
        </w:rPr>
        <w:t>SBNATION</w:t>
      </w:r>
    </w:p>
    <w:p w:rsidR="00BD0BC1" w:rsidRPr="00FE31EA" w:rsidRDefault="00BD0BC1" w:rsidP="00946BA5">
      <w:pPr>
        <w:pStyle w:val="Heading1"/>
        <w:shd w:val="clear" w:color="auto" w:fill="FFFFFF"/>
        <w:spacing w:line="480" w:lineRule="auto"/>
        <w:rPr>
          <w:b w:val="0"/>
          <w:bCs w:val="0"/>
          <w:sz w:val="24"/>
          <w:szCs w:val="24"/>
        </w:rPr>
      </w:pPr>
    </w:p>
    <w:p w:rsidR="00BF6641" w:rsidRPr="00FE31EA" w:rsidRDefault="00726A7D" w:rsidP="00946BA5">
      <w:pPr>
        <w:spacing w:line="480" w:lineRule="auto"/>
        <w:rPr>
          <w:rFonts w:ascii="Times New Roman" w:hAnsi="Times New Roman" w:cs="Times New Roman"/>
          <w:sz w:val="24"/>
          <w:szCs w:val="24"/>
        </w:rPr>
      </w:pPr>
      <w:r w:rsidRPr="00FE31EA">
        <w:rPr>
          <w:rFonts w:ascii="Times New Roman" w:hAnsi="Times New Roman" w:cs="Times New Roman"/>
          <w:sz w:val="24"/>
          <w:szCs w:val="24"/>
        </w:rPr>
        <w:t xml:space="preserve">    </w:t>
      </w:r>
    </w:p>
    <w:p w:rsidR="00750375" w:rsidRPr="00FE31EA" w:rsidRDefault="00750375" w:rsidP="00946BA5">
      <w:pPr>
        <w:spacing w:line="480" w:lineRule="auto"/>
        <w:rPr>
          <w:rFonts w:ascii="Times New Roman" w:hAnsi="Times New Roman" w:cs="Times New Roman"/>
          <w:sz w:val="24"/>
          <w:szCs w:val="24"/>
        </w:rPr>
      </w:pPr>
    </w:p>
    <w:sectPr w:rsidR="00750375" w:rsidRPr="00FE31EA" w:rsidSect="00F363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E37" w:rsidRDefault="00362E37" w:rsidP="00F3635C">
      <w:pPr>
        <w:spacing w:after="0" w:line="240" w:lineRule="auto"/>
      </w:pPr>
      <w:r>
        <w:separator/>
      </w:r>
    </w:p>
  </w:endnote>
  <w:endnote w:type="continuationSeparator" w:id="0">
    <w:p w:rsidR="00362E37" w:rsidRDefault="00362E37" w:rsidP="00F36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E37" w:rsidRDefault="00362E37" w:rsidP="00F3635C">
      <w:pPr>
        <w:spacing w:after="0" w:line="240" w:lineRule="auto"/>
      </w:pPr>
      <w:r>
        <w:separator/>
      </w:r>
    </w:p>
  </w:footnote>
  <w:footnote w:type="continuationSeparator" w:id="0">
    <w:p w:rsidR="00362E37" w:rsidRDefault="00362E37" w:rsidP="00F363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35C" w:rsidRPr="00F3635C" w:rsidRDefault="00F3635C">
    <w:pPr>
      <w:pStyle w:val="Header"/>
      <w:rPr>
        <w:rFonts w:ascii="Times New Roman" w:hAnsi="Times New Roman" w:cs="Times New Roman"/>
        <w:sz w:val="24"/>
        <w:szCs w:val="24"/>
      </w:rPr>
    </w:pPr>
    <w:r w:rsidRPr="00F3635C">
      <w:rPr>
        <w:rFonts w:ascii="Times New Roman" w:hAnsi="Times New Roman" w:cs="Times New Roman"/>
        <w:sz w:val="24"/>
        <w:szCs w:val="24"/>
      </w:rPr>
      <w:t>THE LATEST NATIONAL FOOTBALL LEAGUE COLLECTIVE BARGAINING AGREEMENT</w:t>
    </w:r>
    <w:r w:rsidRPr="00F3635C">
      <w:rPr>
        <w:rFonts w:ascii="Times New Roman" w:hAnsi="Times New Roman" w:cs="Times New Roman"/>
        <w:sz w:val="24"/>
        <w:szCs w:val="24"/>
      </w:rPr>
      <w:t xml:space="preserve"> </w:t>
    </w:r>
    <w:r w:rsidRPr="00F3635C">
      <w:rPr>
        <w:rFonts w:ascii="Times New Roman" w:hAnsi="Times New Roman" w:cs="Times New Roman"/>
        <w:sz w:val="24"/>
        <w:szCs w:val="24"/>
      </w:rPr>
      <w:tab/>
    </w:r>
    <w:r w:rsidRPr="00F3635C">
      <w:rPr>
        <w:rFonts w:ascii="Times New Roman" w:hAnsi="Times New Roman" w:cs="Times New Roman"/>
        <w:sz w:val="24"/>
        <w:szCs w:val="24"/>
      </w:rPr>
      <w:tab/>
    </w:r>
    <w:sdt>
      <w:sdtPr>
        <w:rPr>
          <w:rFonts w:ascii="Times New Roman" w:hAnsi="Times New Roman" w:cs="Times New Roman"/>
          <w:sz w:val="24"/>
          <w:szCs w:val="24"/>
        </w:rPr>
        <w:id w:val="-332836581"/>
        <w:docPartObj>
          <w:docPartGallery w:val="Page Numbers (Top of Page)"/>
          <w:docPartUnique/>
        </w:docPartObj>
      </w:sdtPr>
      <w:sdtEndPr>
        <w:rPr>
          <w:noProof/>
        </w:rPr>
      </w:sdtEndPr>
      <w:sdtContent>
        <w:r w:rsidRPr="00F3635C">
          <w:rPr>
            <w:rFonts w:ascii="Times New Roman" w:hAnsi="Times New Roman" w:cs="Times New Roman"/>
            <w:sz w:val="24"/>
            <w:szCs w:val="24"/>
          </w:rPr>
          <w:fldChar w:fldCharType="begin"/>
        </w:r>
        <w:r w:rsidRPr="00F3635C">
          <w:rPr>
            <w:rFonts w:ascii="Times New Roman" w:hAnsi="Times New Roman" w:cs="Times New Roman"/>
            <w:sz w:val="24"/>
            <w:szCs w:val="24"/>
          </w:rPr>
          <w:instrText xml:space="preserve"> PAGE   \* MERGEFORMAT </w:instrText>
        </w:r>
        <w:r w:rsidRPr="00F3635C">
          <w:rPr>
            <w:rFonts w:ascii="Times New Roman" w:hAnsi="Times New Roman" w:cs="Times New Roman"/>
            <w:sz w:val="24"/>
            <w:szCs w:val="24"/>
          </w:rPr>
          <w:fldChar w:fldCharType="separate"/>
        </w:r>
        <w:r w:rsidR="00FE31EA">
          <w:rPr>
            <w:rFonts w:ascii="Times New Roman" w:hAnsi="Times New Roman" w:cs="Times New Roman"/>
            <w:noProof/>
            <w:sz w:val="24"/>
            <w:szCs w:val="24"/>
          </w:rPr>
          <w:t>7</w:t>
        </w:r>
        <w:r w:rsidRPr="00F3635C">
          <w:rPr>
            <w:rFonts w:ascii="Times New Roman" w:hAnsi="Times New Roman" w:cs="Times New Roman"/>
            <w:noProof/>
            <w:sz w:val="24"/>
            <w:szCs w:val="24"/>
          </w:rPr>
          <w:fldChar w:fldCharType="end"/>
        </w:r>
      </w:sdtContent>
    </w:sdt>
  </w:p>
  <w:p w:rsidR="00F3635C" w:rsidRPr="00F3635C" w:rsidRDefault="00F3635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35C" w:rsidRPr="00F3635C" w:rsidRDefault="00F3635C" w:rsidP="00F3635C">
    <w:pPr>
      <w:rPr>
        <w:rFonts w:ascii="Times New Roman" w:hAnsi="Times New Roman" w:cs="Times New Roman"/>
        <w:sz w:val="24"/>
        <w:szCs w:val="24"/>
      </w:rPr>
    </w:pPr>
    <w:r w:rsidRPr="00F3635C">
      <w:rPr>
        <w:rFonts w:ascii="Times New Roman" w:hAnsi="Times New Roman" w:cs="Times New Roman"/>
        <w:sz w:val="24"/>
        <w:szCs w:val="24"/>
      </w:rPr>
      <w:t>Running head: THE LATEST NATIONAL FOOTBALL LEAGUE COLLECTIVE BARGAINING AGREEMENT</w:t>
    </w:r>
    <w:r w:rsidRPr="00F3635C">
      <w:rPr>
        <w:rFonts w:ascii="Times New Roman" w:hAnsi="Times New Roman" w:cs="Times New Roman"/>
        <w:sz w:val="24"/>
        <w:szCs w:val="24"/>
      </w:rPr>
      <w:tab/>
    </w:r>
    <w:r w:rsidRPr="00F3635C">
      <w:rPr>
        <w:rFonts w:ascii="Times New Roman" w:hAnsi="Times New Roman" w:cs="Times New Roman"/>
        <w:sz w:val="24"/>
        <w:szCs w:val="24"/>
      </w:rPr>
      <w:tab/>
    </w:r>
    <w:r w:rsidRPr="00F3635C">
      <w:rPr>
        <w:rFonts w:ascii="Times New Roman" w:hAnsi="Times New Roman" w:cs="Times New Roman"/>
        <w:sz w:val="24"/>
        <w:szCs w:val="24"/>
      </w:rPr>
      <w:tab/>
    </w:r>
    <w:r w:rsidRPr="00F3635C">
      <w:rPr>
        <w:rFonts w:ascii="Times New Roman" w:hAnsi="Times New Roman" w:cs="Times New Roman"/>
        <w:sz w:val="24"/>
        <w:szCs w:val="24"/>
      </w:rPr>
      <w:tab/>
    </w:r>
    <w:r w:rsidRPr="00F3635C">
      <w:rPr>
        <w:rFonts w:ascii="Times New Roman" w:hAnsi="Times New Roman" w:cs="Times New Roman"/>
        <w:sz w:val="24"/>
        <w:szCs w:val="24"/>
      </w:rPr>
      <w:tab/>
    </w:r>
    <w:r w:rsidRPr="00F3635C">
      <w:rPr>
        <w:rFonts w:ascii="Times New Roman" w:hAnsi="Times New Roman" w:cs="Times New Roman"/>
        <w:sz w:val="24"/>
        <w:szCs w:val="24"/>
      </w:rPr>
      <w:tab/>
    </w:r>
    <w:r w:rsidRPr="00F3635C">
      <w:rPr>
        <w:rFonts w:ascii="Times New Roman" w:hAnsi="Times New Roman" w:cs="Times New Roman"/>
        <w:sz w:val="24"/>
        <w:szCs w:val="24"/>
      </w:rPr>
      <w:tab/>
    </w:r>
    <w:r w:rsidRPr="00F3635C">
      <w:rPr>
        <w:rFonts w:ascii="Times New Roman" w:hAnsi="Times New Roman" w:cs="Times New Roman"/>
        <w:sz w:val="24"/>
        <w:szCs w:val="24"/>
      </w:rPr>
      <w:tab/>
      <w:t xml:space="preserve">      </w:t>
    </w:r>
    <w:sdt>
      <w:sdtPr>
        <w:rPr>
          <w:rFonts w:ascii="Times New Roman" w:hAnsi="Times New Roman" w:cs="Times New Roman"/>
          <w:sz w:val="24"/>
          <w:szCs w:val="24"/>
        </w:rPr>
        <w:id w:val="170927927"/>
        <w:docPartObj>
          <w:docPartGallery w:val="Page Numbers (Top of Page)"/>
          <w:docPartUnique/>
        </w:docPartObj>
      </w:sdtPr>
      <w:sdtEndPr>
        <w:rPr>
          <w:noProof/>
        </w:rPr>
      </w:sdtEndPr>
      <w:sdtContent>
        <w:r w:rsidRPr="00F3635C">
          <w:rPr>
            <w:rFonts w:ascii="Times New Roman" w:hAnsi="Times New Roman" w:cs="Times New Roman"/>
            <w:sz w:val="24"/>
            <w:szCs w:val="24"/>
          </w:rPr>
          <w:fldChar w:fldCharType="begin"/>
        </w:r>
        <w:r w:rsidRPr="00F3635C">
          <w:rPr>
            <w:rFonts w:ascii="Times New Roman" w:hAnsi="Times New Roman" w:cs="Times New Roman"/>
            <w:sz w:val="24"/>
            <w:szCs w:val="24"/>
          </w:rPr>
          <w:instrText xml:space="preserve"> PAGE   \* MERGEFORMAT </w:instrText>
        </w:r>
        <w:r w:rsidRPr="00F3635C">
          <w:rPr>
            <w:rFonts w:ascii="Times New Roman" w:hAnsi="Times New Roman" w:cs="Times New Roman"/>
            <w:sz w:val="24"/>
            <w:szCs w:val="24"/>
          </w:rPr>
          <w:fldChar w:fldCharType="separate"/>
        </w:r>
        <w:r w:rsidR="00FE31EA">
          <w:rPr>
            <w:rFonts w:ascii="Times New Roman" w:hAnsi="Times New Roman" w:cs="Times New Roman"/>
            <w:noProof/>
            <w:sz w:val="24"/>
            <w:szCs w:val="24"/>
          </w:rPr>
          <w:t>1</w:t>
        </w:r>
        <w:r w:rsidRPr="00F3635C">
          <w:rPr>
            <w:rFonts w:ascii="Times New Roman" w:hAnsi="Times New Roman" w:cs="Times New Roman"/>
            <w:noProof/>
            <w:sz w:val="24"/>
            <w:szCs w:val="24"/>
          </w:rPr>
          <w:fldChar w:fldCharType="end"/>
        </w:r>
      </w:sdtContent>
    </w:sdt>
  </w:p>
  <w:p w:rsidR="00F3635C" w:rsidRPr="00F3635C" w:rsidRDefault="00F3635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AA0"/>
    <w:rsid w:val="00077BEF"/>
    <w:rsid w:val="000E374C"/>
    <w:rsid w:val="00116188"/>
    <w:rsid w:val="001A31AE"/>
    <w:rsid w:val="001C240A"/>
    <w:rsid w:val="00226C6E"/>
    <w:rsid w:val="0025626D"/>
    <w:rsid w:val="002A5CE0"/>
    <w:rsid w:val="002B4EDC"/>
    <w:rsid w:val="002C5D5A"/>
    <w:rsid w:val="00362E37"/>
    <w:rsid w:val="003B3AAB"/>
    <w:rsid w:val="003F54C5"/>
    <w:rsid w:val="00473A6A"/>
    <w:rsid w:val="00495787"/>
    <w:rsid w:val="005A08B3"/>
    <w:rsid w:val="005E1781"/>
    <w:rsid w:val="00677063"/>
    <w:rsid w:val="00693F74"/>
    <w:rsid w:val="006D2848"/>
    <w:rsid w:val="006E7AA0"/>
    <w:rsid w:val="007051D9"/>
    <w:rsid w:val="0071332B"/>
    <w:rsid w:val="00726A7D"/>
    <w:rsid w:val="007370DA"/>
    <w:rsid w:val="00743074"/>
    <w:rsid w:val="007431ED"/>
    <w:rsid w:val="00750375"/>
    <w:rsid w:val="00753F9D"/>
    <w:rsid w:val="0079097D"/>
    <w:rsid w:val="007D2D8A"/>
    <w:rsid w:val="00862F9E"/>
    <w:rsid w:val="008D477F"/>
    <w:rsid w:val="00930A56"/>
    <w:rsid w:val="00946BA5"/>
    <w:rsid w:val="009C0DDD"/>
    <w:rsid w:val="009D5084"/>
    <w:rsid w:val="009F67DA"/>
    <w:rsid w:val="009F6FC1"/>
    <w:rsid w:val="00A9580E"/>
    <w:rsid w:val="00BD0BC1"/>
    <w:rsid w:val="00BF6641"/>
    <w:rsid w:val="00C039F9"/>
    <w:rsid w:val="00C70E60"/>
    <w:rsid w:val="00C95CD7"/>
    <w:rsid w:val="00CF7143"/>
    <w:rsid w:val="00D25BBA"/>
    <w:rsid w:val="00D3660F"/>
    <w:rsid w:val="00D67572"/>
    <w:rsid w:val="00D81FC0"/>
    <w:rsid w:val="00DA3E8F"/>
    <w:rsid w:val="00DD47F6"/>
    <w:rsid w:val="00E92CBC"/>
    <w:rsid w:val="00E970AC"/>
    <w:rsid w:val="00F0027C"/>
    <w:rsid w:val="00F3635C"/>
    <w:rsid w:val="00FD678C"/>
    <w:rsid w:val="00FE31EA"/>
    <w:rsid w:val="00FF5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AD9C8-4E40-4126-9A29-100A0E8C2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D0B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BC1"/>
    <w:rPr>
      <w:rFonts w:ascii="Times New Roman" w:eastAsia="Times New Roman" w:hAnsi="Times New Roman" w:cs="Times New Roman"/>
      <w:b/>
      <w:bCs/>
      <w:kern w:val="36"/>
      <w:sz w:val="48"/>
      <w:szCs w:val="48"/>
    </w:rPr>
  </w:style>
  <w:style w:type="character" w:customStyle="1" w:styleId="nfl-o-authorname">
    <w:name w:val="nfl-o-author__name"/>
    <w:basedOn w:val="DefaultParagraphFont"/>
    <w:rsid w:val="00BD0BC1"/>
  </w:style>
  <w:style w:type="paragraph" w:styleId="NormalWeb">
    <w:name w:val="Normal (Web)"/>
    <w:basedOn w:val="Normal"/>
    <w:uiPriority w:val="99"/>
    <w:semiHidden/>
    <w:unhideWhenUsed/>
    <w:rsid w:val="00BD0BC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363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35C"/>
  </w:style>
  <w:style w:type="paragraph" w:styleId="Footer">
    <w:name w:val="footer"/>
    <w:basedOn w:val="Normal"/>
    <w:link w:val="FooterChar"/>
    <w:uiPriority w:val="99"/>
    <w:unhideWhenUsed/>
    <w:rsid w:val="00F363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700677">
      <w:bodyDiv w:val="1"/>
      <w:marLeft w:val="0"/>
      <w:marRight w:val="0"/>
      <w:marTop w:val="0"/>
      <w:marBottom w:val="0"/>
      <w:divBdr>
        <w:top w:val="none" w:sz="0" w:space="0" w:color="auto"/>
        <w:left w:val="none" w:sz="0" w:space="0" w:color="auto"/>
        <w:bottom w:val="none" w:sz="0" w:space="0" w:color="auto"/>
        <w:right w:val="none" w:sz="0" w:space="0" w:color="auto"/>
      </w:divBdr>
    </w:div>
    <w:div w:id="1346059976">
      <w:bodyDiv w:val="1"/>
      <w:marLeft w:val="0"/>
      <w:marRight w:val="0"/>
      <w:marTop w:val="0"/>
      <w:marBottom w:val="0"/>
      <w:divBdr>
        <w:top w:val="none" w:sz="0" w:space="0" w:color="auto"/>
        <w:left w:val="none" w:sz="0" w:space="0" w:color="auto"/>
        <w:bottom w:val="none" w:sz="0" w:space="0" w:color="auto"/>
        <w:right w:val="none" w:sz="0" w:space="0" w:color="auto"/>
      </w:divBdr>
      <w:divsChild>
        <w:div w:id="1267301213">
          <w:marLeft w:val="0"/>
          <w:marRight w:val="0"/>
          <w:marTop w:val="0"/>
          <w:marBottom w:val="0"/>
          <w:divBdr>
            <w:top w:val="none" w:sz="0" w:space="0" w:color="auto"/>
            <w:left w:val="none" w:sz="0" w:space="0" w:color="auto"/>
            <w:bottom w:val="none" w:sz="0" w:space="0" w:color="auto"/>
            <w:right w:val="none" w:sz="0" w:space="0" w:color="auto"/>
          </w:divBdr>
          <w:divsChild>
            <w:div w:id="226303657">
              <w:marLeft w:val="0"/>
              <w:marRight w:val="0"/>
              <w:marTop w:val="0"/>
              <w:marBottom w:val="0"/>
              <w:divBdr>
                <w:top w:val="none" w:sz="0" w:space="0" w:color="auto"/>
                <w:left w:val="none" w:sz="0" w:space="0" w:color="auto"/>
                <w:bottom w:val="none" w:sz="0" w:space="0" w:color="auto"/>
                <w:right w:val="none" w:sz="0" w:space="0" w:color="auto"/>
              </w:divBdr>
              <w:divsChild>
                <w:div w:id="1667129077">
                  <w:marLeft w:val="0"/>
                  <w:marRight w:val="0"/>
                  <w:marTop w:val="0"/>
                  <w:marBottom w:val="0"/>
                  <w:divBdr>
                    <w:top w:val="none" w:sz="0" w:space="0" w:color="auto"/>
                    <w:left w:val="none" w:sz="0" w:space="0" w:color="auto"/>
                    <w:bottom w:val="none" w:sz="0" w:space="0" w:color="auto"/>
                    <w:right w:val="none" w:sz="0" w:space="0" w:color="auto"/>
                  </w:divBdr>
                  <w:divsChild>
                    <w:div w:id="613055727">
                      <w:marLeft w:val="0"/>
                      <w:marRight w:val="0"/>
                      <w:marTop w:val="0"/>
                      <w:marBottom w:val="0"/>
                      <w:divBdr>
                        <w:top w:val="none" w:sz="0" w:space="0" w:color="auto"/>
                        <w:left w:val="none" w:sz="0" w:space="0" w:color="auto"/>
                        <w:bottom w:val="none" w:sz="0" w:space="0" w:color="auto"/>
                        <w:right w:val="none" w:sz="0" w:space="0" w:color="auto"/>
                      </w:divBdr>
                      <w:divsChild>
                        <w:div w:id="511116249">
                          <w:marLeft w:val="0"/>
                          <w:marRight w:val="0"/>
                          <w:marTop w:val="0"/>
                          <w:marBottom w:val="0"/>
                          <w:divBdr>
                            <w:top w:val="none" w:sz="0" w:space="0" w:color="auto"/>
                            <w:left w:val="none" w:sz="0" w:space="0" w:color="auto"/>
                            <w:bottom w:val="none" w:sz="0" w:space="0" w:color="auto"/>
                            <w:right w:val="none" w:sz="0" w:space="0" w:color="auto"/>
                          </w:divBdr>
                        </w:div>
                      </w:divsChild>
                    </w:div>
                    <w:div w:id="559749795">
                      <w:marLeft w:val="0"/>
                      <w:marRight w:val="0"/>
                      <w:marTop w:val="0"/>
                      <w:marBottom w:val="0"/>
                      <w:divBdr>
                        <w:top w:val="none" w:sz="0" w:space="0" w:color="auto"/>
                        <w:left w:val="none" w:sz="0" w:space="0" w:color="auto"/>
                        <w:bottom w:val="none" w:sz="0" w:space="0" w:color="auto"/>
                        <w:right w:val="none" w:sz="0" w:space="0" w:color="auto"/>
                      </w:divBdr>
                      <w:divsChild>
                        <w:div w:id="811673156">
                          <w:marLeft w:val="240"/>
                          <w:marRight w:val="0"/>
                          <w:marTop w:val="0"/>
                          <w:marBottom w:val="0"/>
                          <w:divBdr>
                            <w:top w:val="none" w:sz="0" w:space="0" w:color="auto"/>
                            <w:left w:val="none" w:sz="0" w:space="0" w:color="auto"/>
                            <w:bottom w:val="none" w:sz="0" w:space="0" w:color="auto"/>
                            <w:right w:val="none" w:sz="0" w:space="0" w:color="auto"/>
                          </w:divBdr>
                          <w:divsChild>
                            <w:div w:id="31957729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2020-04-30T16:36:00Z</dcterms:created>
  <dcterms:modified xsi:type="dcterms:W3CDTF">2020-04-30T16:36:00Z</dcterms:modified>
</cp:coreProperties>
</file>